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592C2">
      <w:pPr>
        <w:widowControl/>
        <w:spacing w:before="120" w:after="240"/>
        <w:jc w:val="left"/>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pPr>
      <w:r>
        <w:rPr>
          <w:rFonts w:hint="eastAsia" w:ascii="Times New Roman" w:hAnsi="Times New Roman" w:eastAsia="Calibri" w:cs="Times New Roman"/>
          <w:b/>
          <w:bCs/>
          <w:color w:val="000000" w:themeColor="text1"/>
          <w:kern w:val="0"/>
          <w:sz w:val="24"/>
          <w:szCs w:val="24"/>
          <w:highlight w:val="none"/>
          <w:lang w:val="en-GB" w:eastAsia="en-US"/>
          <w14:textFill>
            <w14:solidFill>
              <w14:schemeClr w14:val="tx1"/>
            </w14:solidFill>
          </w14:textFill>
        </w:rPr>
        <w:t>Figure S</w:t>
      </w:r>
      <w:r>
        <w:rPr>
          <w:rFonts w:hint="eastAsia" w:ascii="Times New Roman" w:hAnsi="Times New Roman" w:eastAsia="宋体" w:cs="Times New Roman"/>
          <w:b/>
          <w:bCs/>
          <w:color w:val="000000" w:themeColor="text1"/>
          <w:kern w:val="0"/>
          <w:sz w:val="24"/>
          <w:szCs w:val="24"/>
          <w:highlight w:val="none"/>
          <w:lang w:val="en-US" w:eastAsia="zh-CN"/>
          <w14:textFill>
            <w14:solidFill>
              <w14:schemeClr w14:val="tx1"/>
            </w14:solidFill>
          </w14:textFill>
        </w:rPr>
        <w:t>1</w:t>
      </w:r>
      <w:r>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t xml:space="preserve">: RNA-Seq data of differentially expressed genes (DEGs) contents of foxtail millet seedings grown in hydroponic culture validated by the quantitative real-time PCR (qRT-PCR) method; </w:t>
      </w:r>
    </w:p>
    <w:p w14:paraId="6F691374">
      <w:pPr>
        <w:widowControl/>
        <w:spacing w:before="120" w:after="240"/>
        <w:jc w:val="left"/>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pPr>
      <w:r>
        <w:rPr>
          <w:rFonts w:hint="eastAsia" w:ascii="Times New Roman" w:hAnsi="Times New Roman" w:eastAsia="Calibri" w:cs="Times New Roman"/>
          <w:b/>
          <w:bCs/>
          <w:color w:val="000000" w:themeColor="text1"/>
          <w:kern w:val="0"/>
          <w:sz w:val="24"/>
          <w:szCs w:val="24"/>
          <w:highlight w:val="none"/>
          <w:lang w:val="en-GB" w:eastAsia="en-US"/>
          <w14:textFill>
            <w14:solidFill>
              <w14:schemeClr w14:val="tx1"/>
            </w14:solidFill>
          </w14:textFill>
        </w:rPr>
        <w:t>Figure S</w:t>
      </w:r>
      <w:r>
        <w:rPr>
          <w:rFonts w:hint="eastAsia" w:ascii="Times New Roman" w:hAnsi="Times New Roman" w:eastAsia="宋体" w:cs="Times New Roman"/>
          <w:b/>
          <w:bCs/>
          <w:color w:val="000000" w:themeColor="text1"/>
          <w:kern w:val="0"/>
          <w:sz w:val="24"/>
          <w:szCs w:val="24"/>
          <w:highlight w:val="none"/>
          <w:lang w:val="en-US" w:eastAsia="zh-CN"/>
          <w14:textFill>
            <w14:solidFill>
              <w14:schemeClr w14:val="tx1"/>
            </w14:solidFill>
          </w14:textFill>
        </w:rPr>
        <w:t>2</w:t>
      </w:r>
      <w:r>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t xml:space="preserve">: Percentage of gene numbers according to their expression levels in each sample based on FPKM values. very high levels (FPKM≥300), high levels (100≤FPKM&lt;300), medium levels (30≤FPKM&lt;100), low levels (10≤FPKM&lt;30), extremely low levels (1≤FPKM&lt;10), and not expression levels (FPKM&lt;1); </w:t>
      </w:r>
    </w:p>
    <w:p w14:paraId="1BBF553B">
      <w:pPr>
        <w:widowControl/>
        <w:spacing w:before="120" w:after="240"/>
        <w:jc w:val="left"/>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pPr>
      <w:r>
        <w:rPr>
          <w:rFonts w:hint="eastAsia" w:ascii="Times New Roman" w:hAnsi="Times New Roman" w:eastAsia="Calibri" w:cs="Times New Roman"/>
          <w:b/>
          <w:bCs/>
          <w:color w:val="000000" w:themeColor="text1"/>
          <w:kern w:val="0"/>
          <w:sz w:val="24"/>
          <w:szCs w:val="24"/>
          <w:highlight w:val="none"/>
          <w:lang w:val="en-GB" w:eastAsia="en-US"/>
          <w14:textFill>
            <w14:solidFill>
              <w14:schemeClr w14:val="tx1"/>
            </w14:solidFill>
          </w14:textFill>
        </w:rPr>
        <w:t>Figure S</w:t>
      </w:r>
      <w:r>
        <w:rPr>
          <w:rFonts w:hint="eastAsia" w:ascii="Times New Roman" w:hAnsi="Times New Roman" w:eastAsia="宋体" w:cs="Times New Roman"/>
          <w:b/>
          <w:bCs/>
          <w:color w:val="000000" w:themeColor="text1"/>
          <w:kern w:val="0"/>
          <w:sz w:val="24"/>
          <w:szCs w:val="24"/>
          <w:highlight w:val="none"/>
          <w:lang w:val="en-US" w:eastAsia="zh-CN"/>
          <w14:textFill>
            <w14:solidFill>
              <w14:schemeClr w14:val="tx1"/>
            </w14:solidFill>
          </w14:textFill>
        </w:rPr>
        <w:t>3</w:t>
      </w:r>
      <w:r>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t>: Various concentration of exogenous Mo induced transcript in plant hormone signal transduction. Colored boxes represent the log</w:t>
      </w:r>
      <w:r>
        <w:rPr>
          <w:rFonts w:hint="eastAsia" w:ascii="Times New Roman" w:hAnsi="Times New Roman" w:eastAsia="Calibri" w:cs="Times New Roman"/>
          <w:color w:val="000000" w:themeColor="text1"/>
          <w:kern w:val="0"/>
          <w:sz w:val="24"/>
          <w:szCs w:val="24"/>
          <w:highlight w:val="none"/>
          <w:vertAlign w:val="subscript"/>
          <w:lang w:val="en-GB" w:eastAsia="en-US"/>
          <w14:textFill>
            <w14:solidFill>
              <w14:schemeClr w14:val="tx1"/>
            </w14:solidFill>
          </w14:textFill>
        </w:rPr>
        <w:t>2</w:t>
      </w:r>
      <w:r>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t xml:space="preserve"> fold change; </w:t>
      </w:r>
    </w:p>
    <w:p w14:paraId="1CA0E109">
      <w:pPr>
        <w:widowControl/>
        <w:spacing w:before="120" w:after="240"/>
        <w:jc w:val="left"/>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pPr>
      <w:r>
        <w:rPr>
          <w:rFonts w:hint="eastAsia" w:ascii="Times New Roman" w:hAnsi="Times New Roman" w:eastAsia="Calibri" w:cs="Times New Roman"/>
          <w:b/>
          <w:bCs/>
          <w:color w:val="000000" w:themeColor="text1"/>
          <w:kern w:val="0"/>
          <w:sz w:val="24"/>
          <w:szCs w:val="24"/>
          <w:highlight w:val="none"/>
          <w:lang w:val="en-GB" w:eastAsia="en-US"/>
          <w14:textFill>
            <w14:solidFill>
              <w14:schemeClr w14:val="tx1"/>
            </w14:solidFill>
          </w14:textFill>
        </w:rPr>
        <w:t>Figure S</w:t>
      </w:r>
      <w:r>
        <w:rPr>
          <w:rFonts w:hint="eastAsia" w:ascii="Times New Roman" w:hAnsi="Times New Roman" w:eastAsia="宋体" w:cs="Times New Roman"/>
          <w:b/>
          <w:bCs/>
          <w:color w:val="000000" w:themeColor="text1"/>
          <w:kern w:val="0"/>
          <w:sz w:val="24"/>
          <w:szCs w:val="24"/>
          <w:highlight w:val="none"/>
          <w:lang w:val="en-US" w:eastAsia="zh-CN"/>
          <w14:textFill>
            <w14:solidFill>
              <w14:schemeClr w14:val="tx1"/>
            </w14:solidFill>
          </w14:textFill>
        </w:rPr>
        <w:t>4</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w:t>
      </w:r>
      <w:r>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t xml:space="preserve"> Classification of all transcription factors (TFs) under various concentration of exogenous Mo. (a) Pie chart illustrated the classification of all differentially expressed TFs between treatment vs. control, (b) Venn diagram illustrated differentially expressed TFs between treatment</w:t>
      </w:r>
      <w:r>
        <w:rPr>
          <w:rFonts w:hint="eastAsia" w:ascii="Times New Roman" w:hAnsi="Times New Roman" w:eastAsia="Calibri" w:cs="Times New Roman"/>
          <w:i/>
          <w:iCs/>
          <w:color w:val="000000" w:themeColor="text1"/>
          <w:kern w:val="0"/>
          <w:sz w:val="24"/>
          <w:szCs w:val="24"/>
          <w:highlight w:val="none"/>
          <w:lang w:val="en-GB" w:eastAsia="en-US"/>
          <w14:textFill>
            <w14:solidFill>
              <w14:schemeClr w14:val="tx1"/>
            </w14:solidFill>
          </w14:textFill>
        </w:rPr>
        <w:t xml:space="preserve"> vs</w:t>
      </w:r>
      <w:r>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t>. control.</w:t>
      </w:r>
    </w:p>
    <w:p w14:paraId="2DCD276F">
      <w:pPr>
        <w:widowControl/>
        <w:spacing w:before="120" w:after="240"/>
        <w:jc w:val="left"/>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pPr>
      <w:bookmarkStart w:id="0" w:name="_GoBack"/>
      <w:r>
        <w:rPr>
          <w:rFonts w:hint="eastAsia" w:ascii="Times New Roman" w:hAnsi="Times New Roman" w:eastAsia="Calibri" w:cs="Times New Roman"/>
          <w:b/>
          <w:bCs/>
          <w:color w:val="000000" w:themeColor="text1"/>
          <w:kern w:val="0"/>
          <w:sz w:val="24"/>
          <w:szCs w:val="24"/>
          <w:highlight w:val="none"/>
          <w:lang w:val="en-GB" w:eastAsia="en-US"/>
          <w14:textFill>
            <w14:solidFill>
              <w14:schemeClr w14:val="tx1"/>
            </w14:solidFill>
          </w14:textFill>
        </w:rPr>
        <w:t>Figure S</w:t>
      </w:r>
      <w:r>
        <w:rPr>
          <w:rFonts w:hint="eastAsia" w:ascii="Times New Roman" w:hAnsi="Times New Roman" w:eastAsia="宋体" w:cs="Times New Roman"/>
          <w:b/>
          <w:bCs/>
          <w:color w:val="000000" w:themeColor="text1"/>
          <w:kern w:val="0"/>
          <w:sz w:val="24"/>
          <w:szCs w:val="24"/>
          <w:highlight w:val="none"/>
          <w:lang w:val="en-US" w:eastAsia="zh-CN"/>
          <w14:textFill>
            <w14:solidFill>
              <w14:schemeClr w14:val="tx1"/>
            </w14:solidFill>
          </w14:textFill>
        </w:rPr>
        <w:t>5</w:t>
      </w:r>
      <w:bookmarkEnd w:id="0"/>
      <w:r>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t xml:space="preserve">: Heat maps of differentially expressed TFs between treatment </w:t>
      </w:r>
      <w:r>
        <w:rPr>
          <w:rFonts w:hint="eastAsia" w:ascii="Times New Roman" w:hAnsi="Times New Roman" w:eastAsia="Calibri" w:cs="Times New Roman"/>
          <w:i/>
          <w:iCs/>
          <w:color w:val="000000" w:themeColor="text1"/>
          <w:kern w:val="0"/>
          <w:sz w:val="24"/>
          <w:szCs w:val="24"/>
          <w:highlight w:val="none"/>
          <w:lang w:val="en-GB" w:eastAsia="en-US"/>
          <w14:textFill>
            <w14:solidFill>
              <w14:schemeClr w14:val="tx1"/>
            </w14:solidFill>
          </w14:textFill>
        </w:rPr>
        <w:t>vs.</w:t>
      </w:r>
      <w:r>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t xml:space="preserve"> Control. Colored boxes represent the log</w:t>
      </w:r>
      <w:r>
        <w:rPr>
          <w:rFonts w:hint="eastAsia" w:ascii="Times New Roman" w:hAnsi="Times New Roman" w:eastAsia="Calibri" w:cs="Times New Roman"/>
          <w:color w:val="000000" w:themeColor="text1"/>
          <w:kern w:val="0"/>
          <w:sz w:val="24"/>
          <w:szCs w:val="24"/>
          <w:highlight w:val="none"/>
          <w:vertAlign w:val="subscript"/>
          <w:lang w:val="en-GB" w:eastAsia="en-US"/>
          <w14:textFill>
            <w14:solidFill>
              <w14:schemeClr w14:val="tx1"/>
            </w14:solidFill>
          </w14:textFill>
        </w:rPr>
        <w:t>2</w:t>
      </w:r>
      <w:r>
        <w:rPr>
          <w:rFonts w:hint="eastAsia" w:ascii="Times New Roman" w:hAnsi="Times New Roman" w:eastAsia="Calibri" w:cs="Times New Roman"/>
          <w:color w:val="000000" w:themeColor="text1"/>
          <w:kern w:val="0"/>
          <w:sz w:val="24"/>
          <w:szCs w:val="24"/>
          <w:highlight w:val="none"/>
          <w:lang w:val="en-GB" w:eastAsia="en-US"/>
          <w14:textFill>
            <w14:solidFill>
              <w14:schemeClr w14:val="tx1"/>
            </w14:solidFill>
          </w14:textFill>
        </w:rPr>
        <w:t xml:space="preserve"> fold change between treatment vs. Control.</w:t>
      </w:r>
    </w:p>
    <w:p w14:paraId="5D18C99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31442F"/>
    <w:rsid w:val="2C8F4636"/>
    <w:rsid w:val="2DEB39F9"/>
    <w:rsid w:val="343B640E"/>
    <w:rsid w:val="4E251B93"/>
    <w:rsid w:val="5FFF4799"/>
    <w:rsid w:val="67E20E20"/>
    <w:rsid w:val="79EA4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2024-05-10T08:16:00Z</dcterms:created>
  <dc:creator>郭美俊</dc:creator>
  <cp:lastModifiedBy>Daisy小雏菊</cp:lastModifiedBy>
  <dcterms:modified xsi:type="dcterms:W3CDTF">2025-07-27T02:59:27Z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7E66C384A6CF4CF6A1C60E9937DD9A4B_12</vt:lpwstr>
  </property>
  <property fmtid="{D5CDD505-2E9C-101B-9397-08002B2CF9AE}" pid="4" name="KSOTemplateDocerSaveRecord">
    <vt:lpwstr>eyJoZGlkIjoiMmFmNTlmNzA1Yjk5MTIxYTQ0YTE4MzRhZmQ4ZmY1NjciLCJ1c2VySWQiOiI1MTMwNzM4MjYifQ==</vt:lpwstr>
  </property>
</Properties>
</file>